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240" w:before="120" w:lineRule="auto"/>
        <w:jc w:val="center"/>
        <w:rPr/>
      </w:pPr>
      <w:bookmarkStart w:colFirst="0" w:colLast="0" w:name="_952btlm0aqe9" w:id="0"/>
      <w:bookmarkEnd w:id="0"/>
      <w:r w:rsidDel="00000000" w:rsidR="00000000" w:rsidRPr="00000000">
        <w:rPr>
          <w:rtl w:val="0"/>
        </w:rPr>
        <w:t xml:space="preserve">Tailored Timeline</w:t>
      </w:r>
    </w:p>
    <w:p w:rsidR="00000000" w:rsidDel="00000000" w:rsidP="00000000" w:rsidRDefault="00000000" w:rsidRPr="00000000" w14:paraId="00000002">
      <w:pPr>
        <w:ind w:left="-63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3195"/>
        <w:gridCol w:w="3195"/>
        <w:gridCol w:w="3195"/>
        <w:tblGridChange w:id="0">
          <w:tblGrid>
            <w:gridCol w:w="3195"/>
            <w:gridCol w:w="3195"/>
            <w:gridCol w:w="3195"/>
            <w:gridCol w:w="319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-630" w:firstLine="0"/>
              <w:jc w:val="center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1c2b33"/>
                <w:sz w:val="23"/>
                <w:szCs w:val="23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-630" w:firstLine="0"/>
              <w:jc w:val="center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1c2b33"/>
                <w:sz w:val="23"/>
                <w:szCs w:val="23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-630" w:firstLine="0"/>
              <w:jc w:val="center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1c2b33"/>
                <w:sz w:val="23"/>
                <w:szCs w:val="23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-630" w:firstLine="0"/>
              <w:jc w:val="center"/>
              <w:rPr>
                <w:b w:val="1"/>
                <w:bCs w:val="1"/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1c2b33"/>
                <w:sz w:val="23"/>
                <w:szCs w:val="23"/>
                <w:rtl w:val="0"/>
              </w:rPr>
              <w:t xml:space="preserve">Barriers/Concerns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The Build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March 1st: Chainsaw access to the site (weather permitting) March 4th view site with FWP and BLM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Identify good places for BDAs  Start permitting process with BLM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Weather not allowing access to site, troubles with permitting process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The Early Years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Year 1-3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Continue to build BDAs provide maintenance for those already built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Cattle, wildlife interfering with BDAs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Monitoring and Maintenance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color w:val="1c2b33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firstLine="0"/>
              <w:rPr>
                <w:color w:val="1c2b33"/>
                <w:sz w:val="13"/>
                <w:szCs w:val="13"/>
              </w:rPr>
            </w:pPr>
            <w:r w:rsidDel="00000000" w:rsidR="00000000" w:rsidRPr="00000000">
              <w:rPr>
                <w:color w:val="1c2b33"/>
                <w:sz w:val="13"/>
                <w:szCs w:val="13"/>
                <w:rtl w:val="0"/>
              </w:rPr>
              <w:t xml:space="preserve">*Note: Your Montana Tech team will help you develop a monitoring and maintenance plan. For now, outline your goals and concerns according to your workload, land stewardship goals, etc.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Years 1-5+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Maturation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color w:val="1c2b33"/>
                <w:sz w:val="23"/>
                <w:szCs w:val="23"/>
                <w:rtl w:val="0"/>
              </w:rPr>
              <w:t xml:space="preserve">Years 5+</w:t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c2b33" w:space="0" w:sz="4" w:val="single"/>
              <w:left w:color="1c2b33" w:space="0" w:sz="4" w:val="single"/>
              <w:bottom w:color="1c2b33" w:space="0" w:sz="4" w:val="single"/>
              <w:right w:color="1c2b33" w:space="0" w:sz="4" w:val="single"/>
            </w:tcBorders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90" w:firstLine="0"/>
              <w:rPr>
                <w:color w:val="1c2b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630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auto" w:space="0" w:sz="0" w:val="none"/>
        <w:left w:color="auto" w:space="0" w:sz="0" w:val="none"/>
        <w:bottom w:color="auto" w:space="12" w:sz="0" w:val="none"/>
        <w:right w:color="auto" w:space="0" w:sz="0" w:val="none"/>
      </w:pBdr>
      <w:shd w:fill="ffffff" w:val="clear"/>
      <w:spacing w:line="576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hd w:fill="ffffff" w:val="clear"/>
      <w:spacing w:line="480" w:lineRule="auto"/>
      <w:jc w:val="center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